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粗黑宋简体" w:hAnsi="方正粗黑宋简体" w:eastAsia="方正粗黑宋简体" w:cs="方正粗黑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湟源县自然资源局</w:t>
      </w:r>
      <w:r>
        <w:rPr>
          <w:rFonts w:hint="eastAsia" w:ascii="方正粗黑宋简体" w:hAnsi="方正粗黑宋简体" w:eastAsia="方正粗黑宋简体" w:cs="方正粗黑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2020年政府信息公开年度报告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年以来，县自然资源局认真贯彻落实《中华人民共和国政府信息公开条例》及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政府信息公开各项管理规定，加强制度建设，及时准确地公开信息，推进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了全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局信息公开工作。现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我局20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年度政府信息公开工作开展情况报告如下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一、总体情况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年，在县委、县政府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的正确领导及上级自然资源部门的大力支持下</w:t>
      </w:r>
      <w:r>
        <w:rPr>
          <w:rFonts w:hint="eastAsia" w:ascii="仿宋" w:hAnsi="仿宋" w:eastAsia="仿宋" w:cs="仿宋"/>
          <w:sz w:val="32"/>
          <w:szCs w:val="32"/>
        </w:rPr>
        <w:t xml:space="preserve">，县自然资源局认真贯彻落实《中华人民共和国政府信息公开条例》及县政府信息公开各项管理规定，加强制度建设，围绕自然资源领域重点工作，贴近民生、强化措施，依法、及时、准确地公开了相关政府信息，推进政府信息公开工作深入开展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（一）强化机构建设</w:t>
      </w:r>
      <w:r>
        <w:rPr>
          <w:rFonts w:hint="eastAsia" w:ascii="仿宋" w:hAnsi="仿宋" w:eastAsia="仿宋" w:cs="仿宋"/>
          <w:sz w:val="32"/>
          <w:szCs w:val="32"/>
        </w:rPr>
        <w:t>。成立了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以局长为组长，分管领导为副组长，各科室负责人为成员的</w:t>
      </w:r>
      <w:r>
        <w:rPr>
          <w:rFonts w:hint="eastAsia" w:ascii="仿宋" w:hAnsi="仿宋" w:eastAsia="仿宋" w:cs="仿宋"/>
          <w:sz w:val="32"/>
          <w:szCs w:val="32"/>
        </w:rPr>
        <w:t>政府信息公开工作领导小组，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 xml:space="preserve">完善了政务信息公开各项工作制度，加强对工作人员的学习培训，严格遵循政府信息公开基本原则开展信息公开工作，做到“依法公开，真实公正，注重实效，有利监督”，确保政务信息公开工作取得实效，确保了我局政府信息公开工作的有序开展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（二）规范公开内容。</w:t>
      </w:r>
      <w:r>
        <w:rPr>
          <w:rFonts w:hint="eastAsia" w:ascii="仿宋" w:hAnsi="仿宋" w:eastAsia="仿宋" w:cs="仿宋"/>
          <w:sz w:val="32"/>
          <w:szCs w:val="32"/>
        </w:rPr>
        <w:t xml:space="preserve">坚持在政府信息公开工作中依法管理，严格按照县委、县政府关于政府信息公开有关工作要求开展各项工作，保证政府信息公开工作制度化和规范化。坚持把政府信息公开作为政府工作的基本制度，将公开透明作为依法行政的基本要求，不断扩大公开范围，细化公开内容，拓展公开渠道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（三）完善工作机制。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年，我局认真贯彻执行《保密法》，严格按照《保密工作管理制度》规定，坚持“一事一审”，确保信息发布做到“先审查、后公开”。正确处理信息公开与保守党和国家秘密、维护社会稳定、利于工作开展、保护个人隐私等方面的关系，凡涉密信息均不公开，凡较为敏感的信息慎重对待，严格按规定程序履行审批手续，防止简单化、极端化操作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（四）积极回应社会舆情。</w:t>
      </w:r>
      <w:r>
        <w:rPr>
          <w:rFonts w:hint="eastAsia" w:ascii="仿宋" w:hAnsi="仿宋" w:eastAsia="仿宋" w:cs="仿宋"/>
          <w:sz w:val="32"/>
          <w:szCs w:val="32"/>
        </w:rPr>
        <w:t>对属于本局职责内立案受理的案件，由主要领导亲自过问，按照“谁主管、谁负责”的原则，及时交由相关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室调查回应。做到件件有回音，不属于我局的诉求事项，也耐心细致解答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二、主动公开政府信息情况 </w:t>
      </w:r>
    </w:p>
    <w:tbl>
      <w:tblPr>
        <w:tblStyle w:val="4"/>
        <w:tblW w:w="87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4"/>
        <w:gridCol w:w="2455"/>
        <w:gridCol w:w="1514"/>
        <w:gridCol w:w="22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87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制作数量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公开数量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7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本年增/减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减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其他对外管理服务事项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87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本年增/减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减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增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7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37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8258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减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7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采购项目数量</w:t>
            </w:r>
          </w:p>
        </w:tc>
        <w:tc>
          <w:tcPr>
            <w:tcW w:w="37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政府集中采购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9846859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76" w:lineRule="exact"/>
        <w:ind w:firstLine="643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0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907"/>
        <w:gridCol w:w="2032"/>
        <w:gridCol w:w="796"/>
        <w:gridCol w:w="741"/>
        <w:gridCol w:w="741"/>
        <w:gridCol w:w="796"/>
        <w:gridCol w:w="949"/>
        <w:gridCol w:w="706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362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3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6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6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36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2060" w:tblpY="574"/>
        <w:tblOverlap w:val="never"/>
        <w:tblW w:w="859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528"/>
        <w:gridCol w:w="528"/>
        <w:gridCol w:w="528"/>
        <w:gridCol w:w="554"/>
        <w:gridCol w:w="696"/>
        <w:gridCol w:w="552"/>
        <w:gridCol w:w="552"/>
        <w:gridCol w:w="552"/>
        <w:gridCol w:w="696"/>
        <w:gridCol w:w="552"/>
        <w:gridCol w:w="552"/>
        <w:gridCol w:w="552"/>
        <w:gridCol w:w="696"/>
        <w:gridCol w:w="5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593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5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5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总计</w:t>
            </w:r>
          </w:p>
        </w:tc>
        <w:tc>
          <w:tcPr>
            <w:tcW w:w="30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cs="Calibri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 xml:space="preserve">存在的主要问题及改进情况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（一）存在的主要问题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是主动公开的内容还需进一步规范。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 xml:space="preserve">是信息公开的载体和形式还需要进一步丰富。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（二）整改措施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继续严格按照县政府及上级部门关于政府信息公开工作的各项要求，进一步加强我局政府信息公开工作，力争在规范化、制度化、程序化等方面取得新进展。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认真贯彻落实《条例》的要求，积极推进本局信息公开工作。进一步梳理本局在履行职责过程中制作的政府信息。加大政府职能部门行政权责清单信息工作的公开透明度，做到有理有据、注重时效，优质服务，切实服务社会、方便群众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对原有的政府信息公开目录进行补充完善，保证公开信息的完整性和准确性。创新工作思路，提高网络政务信息公开质量，完善各类信息工作平台建设。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 xml:space="preserve">进一步健全机制，强化纪律。严格遵守政府信息公开工作有关工作纪律，加强对本部门重点工作的信息公开力度。认真总结已有的工作经验，学习借鉴上级及同级部门信息公开工作的先进做法，分析研究工作中存在的问题，不断提高信息公开工作质量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六、其他需要报告的事项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暂未存在其他需要报告的事项。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23DEE"/>
    <w:rsid w:val="14E13087"/>
    <w:rsid w:val="31903BD6"/>
    <w:rsid w:val="3D223DEE"/>
    <w:rsid w:val="63C45FCB"/>
    <w:rsid w:val="7E1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0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bds_more"/>
    <w:basedOn w:val="5"/>
    <w:qFormat/>
    <w:uiPriority w:val="0"/>
  </w:style>
  <w:style w:type="character" w:customStyle="1" w:styleId="15">
    <w:name w:val="bds_more1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2"/>
    <w:basedOn w:val="5"/>
    <w:qFormat/>
    <w:uiPriority w:val="0"/>
  </w:style>
  <w:style w:type="character" w:customStyle="1" w:styleId="17">
    <w:name w:val="bds_nopic"/>
    <w:basedOn w:val="5"/>
    <w:qFormat/>
    <w:uiPriority w:val="0"/>
  </w:style>
  <w:style w:type="character" w:customStyle="1" w:styleId="18">
    <w:name w:val="bds_nopic1"/>
    <w:basedOn w:val="5"/>
    <w:qFormat/>
    <w:uiPriority w:val="0"/>
  </w:style>
  <w:style w:type="character" w:customStyle="1" w:styleId="19">
    <w:name w:val="bds_nopic2"/>
    <w:basedOn w:val="5"/>
    <w:qFormat/>
    <w:uiPriority w:val="0"/>
  </w:style>
  <w:style w:type="character" w:customStyle="1" w:styleId="20">
    <w:name w:val="bds_more3"/>
    <w:basedOn w:val="5"/>
    <w:qFormat/>
    <w:uiPriority w:val="0"/>
  </w:style>
  <w:style w:type="character" w:customStyle="1" w:styleId="21">
    <w:name w:val="bds_more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2020-02-11T01:11:00Z</dcterms:created>
  <dc:creator>人丑就要多读书</dc:creator>
  <cp:lastModifiedBy>人丑就要多读书</cp:lastModifiedBy>
  <cp:lastPrinted>2020-02-11T02:37:00Z</cp:lastPrinted>
  <dcterms:modified xsi:type="dcterms:W3CDTF">2021-01-27T07:08:14Z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